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pPr>
        <w:jc w:val="center"/>
      </w:pPr>
      <w:r>
        <w:drawing>
          <wp:inline distT="0" distB="0" distL="114300" distR="114300">
            <wp:extent cx="5477510" cy="4973955"/>
            <wp:effectExtent l="0" t="0" r="889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477510" cy="4973955"/>
                    </a:xfrm>
                    <a:prstGeom prst="rect">
                      <a:avLst/>
                    </a:prstGeom>
                    <a:noFill/>
                    <a:ln>
                      <a:noFill/>
                    </a:ln>
                  </pic:spPr>
                </pic:pic>
              </a:graphicData>
            </a:graphic>
          </wp:inline>
        </w:drawing>
      </w: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建发文澜春晓</w:t>
      </w:r>
      <w:r>
        <w:rPr>
          <w:rFonts w:hint="eastAsia" w:ascii="仿宋_GB2312" w:hAnsi="宋体" w:eastAsia="仿宋_GB2312"/>
          <w:b/>
          <w:bCs/>
          <w:sz w:val="24"/>
        </w:rPr>
        <w:t>区位示意图</w:t>
      </w:r>
    </w:p>
    <w:p>
      <w:pPr>
        <w:spacing w:line="500" w:lineRule="exact"/>
        <w:jc w:val="center"/>
        <w:rPr>
          <w:rFonts w:hint="eastAsia" w:ascii="仿宋_GB2312" w:hAnsi="宋体" w:eastAsia="仿宋_GB2312"/>
          <w:b/>
          <w:bCs/>
          <w:sz w:val="24"/>
        </w:rPr>
        <w:sectPr>
          <w:pgSz w:w="11906" w:h="16838"/>
          <w:pgMar w:top="1440" w:right="1800" w:bottom="1440" w:left="1800" w:header="851" w:footer="992" w:gutter="0"/>
          <w:cols w:space="720" w:num="1"/>
          <w:docGrid w:type="lines" w:linePitch="312" w:charSpace="0"/>
        </w:sectPr>
      </w:pPr>
    </w:p>
    <w:p>
      <w:pPr>
        <w:spacing w:line="500" w:lineRule="exact"/>
        <w:jc w:val="both"/>
      </w:pPr>
      <w:r>
        <w:drawing>
          <wp:anchor distT="0" distB="0" distL="114300" distR="114300" simplePos="0" relativeHeight="251659264" behindDoc="0" locked="0" layoutInCell="1" allowOverlap="1">
            <wp:simplePos x="0" y="0"/>
            <wp:positionH relativeFrom="column">
              <wp:posOffset>-97155</wp:posOffset>
            </wp:positionH>
            <wp:positionV relativeFrom="paragraph">
              <wp:posOffset>144145</wp:posOffset>
            </wp:positionV>
            <wp:extent cx="8855075" cy="3933190"/>
            <wp:effectExtent l="0" t="0" r="3175" b="1016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8855075" cy="3933190"/>
                    </a:xfrm>
                    <a:prstGeom prst="rect">
                      <a:avLst/>
                    </a:prstGeom>
                    <a:noFill/>
                    <a:ln>
                      <a:noFill/>
                    </a:ln>
                  </pic:spPr>
                </pic:pic>
              </a:graphicData>
            </a:graphic>
          </wp:anchor>
        </w:drawing>
      </w: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建发文澜春晓平面</w:t>
      </w:r>
      <w:r>
        <w:rPr>
          <w:rFonts w:hint="eastAsia" w:ascii="仿宋_GB2312" w:hAnsi="宋体" w:eastAsia="仿宋_GB2312"/>
          <w:b/>
          <w:bCs/>
          <w:sz w:val="24"/>
        </w:rPr>
        <w:t>示意图</w:t>
      </w:r>
    </w:p>
    <w:p>
      <w:pPr>
        <w:spacing w:line="500" w:lineRule="exact"/>
        <w:jc w:val="center"/>
        <w:rPr>
          <w:rFonts w:hint="eastAsia"/>
          <w:b/>
          <w:bCs/>
          <w:i w:val="0"/>
          <w:iCs w:val="0"/>
          <w:sz w:val="24"/>
          <w:szCs w:val="28"/>
          <w:lang w:val="en-US" w:eastAsia="zh-CN"/>
        </w:rPr>
      </w:pPr>
      <w:r>
        <w:rPr>
          <w:rFonts w:hint="eastAsia"/>
          <w:b/>
          <w:bCs/>
          <w:i w:val="0"/>
          <w:iCs w:val="0"/>
          <w:sz w:val="24"/>
          <w:szCs w:val="28"/>
          <w:lang w:val="en-US" w:eastAsia="zh-CN"/>
        </w:rPr>
        <w:t>从右往左</w:t>
      </w:r>
      <w:bookmarkStart w:id="0" w:name="_GoBack"/>
      <w:bookmarkEnd w:id="0"/>
      <w:r>
        <w:rPr>
          <w:rFonts w:hint="eastAsia"/>
          <w:b/>
          <w:bCs/>
          <w:i w:val="0"/>
          <w:iCs w:val="0"/>
          <w:sz w:val="24"/>
          <w:szCs w:val="28"/>
          <w:lang w:val="en-US" w:eastAsia="zh-CN"/>
        </w:rPr>
        <w:t>分别为：海城一路80-107（物流终端站）、海城一路80-107-1（普通商业）、</w:t>
      </w:r>
    </w:p>
    <w:p>
      <w:pPr>
        <w:spacing w:line="500" w:lineRule="exact"/>
        <w:jc w:val="center"/>
        <w:rPr>
          <w:rFonts w:hint="default" w:eastAsiaTheme="minorEastAsia"/>
          <w:b/>
          <w:bCs/>
          <w:i w:val="0"/>
          <w:iCs w:val="0"/>
          <w:sz w:val="24"/>
          <w:szCs w:val="28"/>
          <w:lang w:val="en-US" w:eastAsia="zh-CN"/>
        </w:rPr>
      </w:pPr>
      <w:r>
        <w:rPr>
          <w:rFonts w:hint="eastAsia"/>
          <w:b/>
          <w:bCs/>
          <w:i w:val="0"/>
          <w:iCs w:val="0"/>
          <w:sz w:val="24"/>
          <w:szCs w:val="28"/>
          <w:lang w:val="en-US" w:eastAsia="zh-CN"/>
        </w:rPr>
        <w:t>海城一路80-108（普通商业）、海城一路80-109（普通商业）</w:t>
      </w:r>
    </w:p>
    <w:p>
      <w:pPr>
        <w:spacing w:line="500" w:lineRule="exact"/>
        <w:jc w:val="center"/>
        <w:rPr>
          <w:rFonts w:hint="eastAsia" w:ascii="仿宋_GB2312" w:hAnsi="宋体" w:eastAsia="仿宋_GB2312"/>
          <w:b/>
          <w:bCs/>
          <w:sz w:val="24"/>
        </w:rPr>
        <w:sectPr>
          <w:pgSz w:w="16838" w:h="11906" w:orient="landscape"/>
          <w:pgMar w:top="1800" w:right="1440" w:bottom="1800" w:left="1440" w:header="851" w:footer="992" w:gutter="0"/>
          <w:cols w:space="720" w:num="1"/>
          <w:docGrid w:type="lines" w:linePitch="312" w:charSpace="0"/>
        </w:sectPr>
      </w:pPr>
    </w:p>
    <w:p>
      <w:pPr>
        <w:spacing w:line="500" w:lineRule="exact"/>
        <w:jc w:val="center"/>
        <w:rPr>
          <w:rFonts w:hint="eastAsia" w:ascii="仿宋_GB2312" w:hAnsi="宋体" w:eastAsia="仿宋_GB2312"/>
          <w:b/>
          <w:bCs/>
          <w:sz w:val="24"/>
        </w:rPr>
      </w:pPr>
    </w:p>
    <w:p/>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2</w:t>
      </w:r>
      <w:r>
        <w:rPr>
          <w:rFonts w:hint="eastAsia" w:ascii="仿宋_GB2312" w:hAnsi="宋体" w:eastAsia="仿宋_GB2312"/>
          <w:b/>
          <w:sz w:val="28"/>
          <w:szCs w:val="32"/>
        </w:rPr>
        <w:t>：租赁合同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w:t>
      </w:r>
      <w:r>
        <w:rPr>
          <w:rFonts w:hint="eastAsia" w:ascii="华文细黑" w:hAnsi="华文细黑" w:eastAsia="华文细黑"/>
          <w:sz w:val="24"/>
          <w:szCs w:val="24"/>
          <w:u w:val="single"/>
          <w:lang w:val="en-US" w:eastAsia="zh-CN"/>
        </w:rPr>
        <w:t>7</w:t>
      </w:r>
      <w:r>
        <w:rPr>
          <w:rFonts w:ascii="华文细黑" w:hAnsi="华文细黑" w:eastAsia="华文细黑"/>
          <w:sz w:val="24"/>
          <w:szCs w:val="24"/>
          <w:u w:val="single"/>
        </w:rPr>
        <w:t>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方在平等、自愿、公平以及诚实信用的基础上，就</w:t>
      </w:r>
      <w:r>
        <w:rPr>
          <w:rFonts w:hint="eastAsia" w:ascii="华文细黑" w:hAnsi="华文细黑" w:eastAsia="华文细黑"/>
          <w:sz w:val="24"/>
          <w:szCs w:val="24"/>
          <w:u w:val="single"/>
          <w:lang w:val="en-US" w:eastAsia="zh-CN"/>
        </w:rPr>
        <w:t>乙方</w:t>
      </w:r>
      <w:r>
        <w:rPr>
          <w:rFonts w:hint="eastAsia" w:ascii="华文细黑" w:hAnsi="华文细黑" w:eastAsia="华文细黑"/>
          <w:sz w:val="24"/>
          <w:szCs w:val="24"/>
          <w:u w:val="single"/>
        </w:rPr>
        <w:t>向</w:t>
      </w:r>
      <w:r>
        <w:rPr>
          <w:rFonts w:hint="eastAsia" w:ascii="华文细黑" w:hAnsi="华文细黑" w:eastAsia="华文细黑"/>
          <w:sz w:val="24"/>
          <w:szCs w:val="24"/>
          <w:u w:val="single"/>
          <w:lang w:val="en-US" w:eastAsia="zh-CN"/>
        </w:rPr>
        <w:t>甲方</w:t>
      </w:r>
      <w:r>
        <w:rPr>
          <w:rFonts w:hint="eastAsia" w:ascii="华文细黑" w:hAnsi="华文细黑" w:eastAsia="华文细黑"/>
          <w:sz w:val="24"/>
          <w:szCs w:val="24"/>
          <w:u w:val="single"/>
        </w:rPr>
        <w:t>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color w:val="000000"/>
          <w:spacing w:val="-4"/>
          <w:sz w:val="24"/>
          <w:szCs w:val="24"/>
        </w:rPr>
        <w:t>，建筑面积共</w:t>
      </w:r>
      <w:r>
        <w:rPr>
          <w:rFonts w:hint="eastAsia" w:ascii="华文细黑" w:hAnsi="华文细黑" w:eastAsia="华文细黑"/>
          <w:color w:val="000000"/>
          <w:spacing w:val="-4"/>
          <w:sz w:val="24"/>
          <w:szCs w:val="24"/>
          <w:u w:val="single"/>
          <w:lang w:val="en-US" w:eastAsia="zh-CN"/>
        </w:rPr>
        <w:t xml:space="preserve">     </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方因租赁履约需要向乙方发出的包括但不限于整改通知、租金催缴函、物业交还要求、交接手续等文件，乙方在收悉</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sz w:val="24"/>
          <w:szCs w:val="24"/>
        </w:rPr>
        <w:t>。未经</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。每期支付时间表如下：</w:t>
      </w:r>
    </w:p>
    <w:tbl>
      <w:tblPr>
        <w:tblStyle w:val="7"/>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672"/>
        <w:gridCol w:w="101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67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01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hint="default" w:ascii="华文细黑" w:hAnsi="华文细黑" w:eastAsia="华文细黑"/>
          <w:sz w:val="24"/>
          <w:szCs w:val="24"/>
          <w:lang w:val="en-US" w:eastAsia="zh-CN"/>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w:t>
      </w:r>
      <w:r>
        <w:rPr>
          <w:rFonts w:hint="eastAsia" w:ascii="华文细黑" w:hAnsi="华文细黑" w:eastAsia="华文细黑"/>
          <w:sz w:val="24"/>
          <w:szCs w:val="24"/>
          <w:u w:val="single"/>
          <w:lang w:val="en-US" w:eastAsia="zh-CN"/>
        </w:rPr>
        <w:t>110241</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方于租赁期限起始日按现状将租赁房屋交付乙方使用，乙方同意按租赁房屋及设施的现状承租；有关水电等起计底数以移交当日签订的《验房单》为准，《验房单》一式两份，</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乙方各保留一份。</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书面许可后自行向有关部门申请办理，自行负责安装并承担相关费用。增容后的产权和所有权归甲方所有，乙方仅享有租赁期间的使用权，且应当按照相关规定自行缴费。待租赁期满、合同终止或解除时，乙方需配合</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w:t>
      </w:r>
      <w:r>
        <w:rPr>
          <w:rFonts w:hint="eastAsia" w:ascii="华文细黑" w:hAnsi="华文细黑" w:eastAsia="华文细黑"/>
          <w:sz w:val="24"/>
          <w:szCs w:val="24"/>
          <w:lang w:val="en-US" w:eastAsia="zh-CN"/>
        </w:rPr>
        <w:t>甲方</w:t>
      </w:r>
      <w:r>
        <w:rPr>
          <w:rFonts w:ascii="华文细黑" w:hAnsi="华文细黑" w:eastAsia="华文细黑"/>
          <w:sz w:val="24"/>
          <w:szCs w:val="24"/>
        </w:rPr>
        <w:t>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w:t>
      </w:r>
      <w:r>
        <w:rPr>
          <w:rFonts w:hint="eastAsia" w:ascii="华文细黑" w:hAnsi="华文细黑" w:eastAsia="华文细黑"/>
          <w:sz w:val="24"/>
          <w:szCs w:val="24"/>
          <w:lang w:val="en-US" w:eastAsia="zh-CN"/>
        </w:rPr>
        <w:t>甲方</w:t>
      </w:r>
      <w:r>
        <w:rPr>
          <w:rFonts w:ascii="华文细黑" w:hAnsi="华文细黑" w:eastAsia="华文细黑"/>
          <w:sz w:val="24"/>
          <w:szCs w:val="24"/>
        </w:rPr>
        <w:t>审核</w:t>
      </w:r>
      <w:r>
        <w:rPr>
          <w:rFonts w:hint="eastAsia" w:ascii="华文细黑" w:hAnsi="华文细黑" w:eastAsia="华文细黑"/>
          <w:sz w:val="24"/>
          <w:szCs w:val="24"/>
        </w:rPr>
        <w:t>，</w:t>
      </w:r>
      <w:r>
        <w:rPr>
          <w:rFonts w:ascii="华文细黑" w:hAnsi="华文细黑" w:eastAsia="华文细黑"/>
          <w:sz w:val="24"/>
          <w:szCs w:val="24"/>
        </w:rPr>
        <w:t>取得</w:t>
      </w:r>
      <w:r>
        <w:rPr>
          <w:rFonts w:hint="eastAsia" w:ascii="华文细黑" w:hAnsi="华文细黑" w:eastAsia="华文细黑"/>
          <w:sz w:val="24"/>
          <w:szCs w:val="24"/>
          <w:lang w:val="en-US" w:eastAsia="zh-CN"/>
        </w:rPr>
        <w:t>甲方</w:t>
      </w:r>
      <w:r>
        <w:rPr>
          <w:rFonts w:ascii="华文细黑" w:hAnsi="华文细黑" w:eastAsia="华文细黑"/>
          <w:sz w:val="24"/>
          <w:szCs w:val="24"/>
        </w:rPr>
        <w:t>书面同意（</w:t>
      </w:r>
      <w:r>
        <w:rPr>
          <w:rFonts w:hint="eastAsia" w:ascii="华文细黑" w:hAnsi="华文细黑" w:eastAsia="华文细黑"/>
          <w:sz w:val="24"/>
          <w:szCs w:val="24"/>
          <w:lang w:val="en-US" w:eastAsia="zh-CN"/>
        </w:rPr>
        <w:t>甲</w:t>
      </w:r>
      <w:r>
        <w:rPr>
          <w:rFonts w:ascii="华文细黑" w:hAnsi="华文细黑" w:eastAsia="华文细黑"/>
          <w:sz w:val="24"/>
          <w:szCs w:val="24"/>
        </w:rPr>
        <w:t>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w:t>
      </w:r>
      <w:r>
        <w:rPr>
          <w:rFonts w:hint="eastAsia" w:ascii="华文细黑" w:hAnsi="华文细黑" w:eastAsia="华文细黑"/>
          <w:sz w:val="24"/>
          <w:szCs w:val="24"/>
          <w:lang w:val="en-US" w:eastAsia="zh-CN"/>
        </w:rPr>
        <w:t>甲</w:t>
      </w:r>
      <w:r>
        <w:rPr>
          <w:rFonts w:ascii="华文细黑" w:hAnsi="华文细黑" w:eastAsia="华文细黑"/>
          <w:sz w:val="24"/>
          <w:szCs w:val="24"/>
        </w:rPr>
        <w:t>方书面同意外，</w:t>
      </w:r>
      <w:r>
        <w:rPr>
          <w:rFonts w:hint="eastAsia" w:ascii="华文细黑" w:hAnsi="华文细黑" w:eastAsia="华文细黑"/>
          <w:sz w:val="24"/>
          <w:szCs w:val="24"/>
          <w:lang w:val="en-US" w:eastAsia="zh-CN"/>
        </w:rPr>
        <w:t>甲</w:t>
      </w:r>
      <w:r>
        <w:rPr>
          <w:rFonts w:ascii="华文细黑" w:hAnsi="华文细黑" w:eastAsia="华文细黑"/>
          <w:sz w:val="24"/>
          <w:szCs w:val="24"/>
        </w:rPr>
        <w:t>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要求依附于租赁房屋的装修归甲方所有，则乙方不得自行拆除，同时保持租赁房屋使用现状。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正常、安全使用。甲方不予承担相关的保养和维修责任，对因使用不当造成建筑物损坏的，乙方应负责修复。若乙方未及时维护维修或未在指定的合理期限内维护维修租赁房屋及附属物的，</w:t>
      </w:r>
      <w:r>
        <w:rPr>
          <w:rFonts w:hint="eastAsia" w:ascii="华文细黑" w:hAnsi="华文细黑" w:eastAsia="华文细黑"/>
          <w:color w:val="000000"/>
          <w:sz w:val="24"/>
          <w:szCs w:val="24"/>
          <w:lang w:val="en-US" w:eastAsia="zh-CN"/>
        </w:rPr>
        <w:t>甲方</w:t>
      </w:r>
      <w:r>
        <w:rPr>
          <w:rFonts w:hint="eastAsia" w:ascii="华文细黑" w:hAnsi="华文细黑" w:eastAsia="华文细黑"/>
          <w:color w:val="000000"/>
          <w:sz w:val="24"/>
          <w:szCs w:val="24"/>
        </w:rPr>
        <w:t>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color w:val="000000"/>
          <w:sz w:val="24"/>
          <w:szCs w:val="24"/>
          <w:lang w:val="en-US" w:eastAsia="zh-CN"/>
        </w:rPr>
        <w:t>甲方</w:t>
      </w:r>
      <w:r>
        <w:rPr>
          <w:rFonts w:hint="eastAsia" w:ascii="华文细黑" w:hAnsi="华文细黑" w:eastAsia="华文细黑"/>
          <w:sz w:val="24"/>
          <w:szCs w:val="24"/>
        </w:rPr>
        <w:t>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备案）。在租赁期限内租赁房屋出现的包括但不限于安全、消防、生产等事故及由此产生的各种损害，均由乙方承担全部法律责任，甲方不承担任何相关连带责任。若由甲方承担了相应的责任，甲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的统一管理，</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方对房屋进行安全、卫生等检查，乙方应予以配合，对于</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方有权收回租赁房屋</w:t>
      </w:r>
      <w:r>
        <w:rPr>
          <w:rFonts w:hint="eastAsia" w:ascii="华文细黑" w:hAnsi="华文细黑" w:eastAsia="华文细黑"/>
          <w:color w:val="000000"/>
          <w:sz w:val="24"/>
          <w:szCs w:val="24"/>
          <w:lang w:val="en-US" w:eastAsia="zh-CN"/>
        </w:rPr>
        <w:t>并</w:t>
      </w:r>
      <w:r>
        <w:rPr>
          <w:rFonts w:hint="eastAsia" w:ascii="华文细黑" w:hAnsi="华文细黑" w:eastAsia="华文细黑"/>
          <w:color w:val="000000"/>
          <w:sz w:val="24"/>
          <w:szCs w:val="24"/>
        </w:rPr>
        <w:t>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方提交书面申请并附上广告发布方案，供</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携带的任何未来意向租户参观了解租赁房屋，配合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或新租户进场前的必要准备工作；按</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要求对租赁区域逐步进行必要恢复、修理或拆除。清退工作应在合同届满或终止日之前完成，</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，并按照本协议约定的内容与</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办理完毕交接手续。乙方交还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相关管理规定或者侵害其他商户的利益，</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有权要求乙方在限定时间内停止经营活动，若乙方在限定时间内不能纠正其经营活动，视为乙方违约，</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有权立即解除本合同并收回租赁房屋</w:t>
      </w:r>
      <w:r>
        <w:rPr>
          <w:rFonts w:hint="eastAsia" w:ascii="华文细黑" w:hAnsi="华文细黑" w:eastAsia="华文细黑"/>
          <w:sz w:val="24"/>
          <w:szCs w:val="24"/>
          <w:lang w:eastAsia="zh-CN"/>
        </w:rPr>
        <w:t>，</w:t>
      </w:r>
      <w:r>
        <w:rPr>
          <w:rFonts w:hint="eastAsia" w:ascii="华文细黑" w:hAnsi="华文细黑" w:eastAsia="华文细黑"/>
          <w:sz w:val="24"/>
          <w:szCs w:val="24"/>
        </w:rPr>
        <w:t>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备存。每次根据法律规定进行年检或更换之后的有效证照复印件也必须于发生变动7日内交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书面提出变更申请，</w:t>
      </w:r>
      <w:r>
        <w:rPr>
          <w:rFonts w:hint="eastAsia" w:ascii="华文细黑" w:hAnsi="华文细黑" w:eastAsia="华文细黑"/>
          <w:color w:val="000000"/>
          <w:sz w:val="24"/>
          <w:szCs w:val="24"/>
        </w:rPr>
        <w:t>经</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单方提出解除本合同或根据政府开发或出让的面积变更本合同下的租赁范围。乙方在租赁期限内对租赁地块的相关水电接引、搭建、装饰装修、拆除等产生的相关费用，甲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r>
        <w:rPr>
          <w:rFonts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按以下地址或联系人送达通知：</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甲方（出租方）：厦门地丰置业有限公司</w:t>
      </w:r>
    </w:p>
    <w:p>
      <w:pPr>
        <w:spacing w:line="360" w:lineRule="auto"/>
        <w:ind w:firstLine="480" w:firstLineChars="200"/>
        <w:rPr>
          <w:rFonts w:ascii="华文细黑" w:hAnsi="华文细黑" w:eastAsia="华文细黑"/>
          <w:sz w:val="24"/>
          <w:szCs w:val="24"/>
          <w:u w:val="none"/>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none"/>
        </w:rPr>
        <w:t>厦门市湖里区同益路</w:t>
      </w:r>
      <w:r>
        <w:rPr>
          <w:rFonts w:ascii="华文细黑" w:hAnsi="华文细黑" w:eastAsia="华文细黑"/>
          <w:sz w:val="24"/>
          <w:szCs w:val="24"/>
          <w:u w:val="none"/>
        </w:rPr>
        <w:t>9号地产大厦</w:t>
      </w:r>
      <w:r>
        <w:rPr>
          <w:rFonts w:hint="eastAsia" w:ascii="华文细黑" w:hAnsi="华文细黑" w:eastAsia="华文细黑"/>
          <w:sz w:val="24"/>
          <w:szCs w:val="24"/>
          <w:u w:val="none"/>
          <w:lang w:val="en-US" w:eastAsia="zh-CN"/>
        </w:rPr>
        <w:t>7</w:t>
      </w:r>
      <w:r>
        <w:rPr>
          <w:rFonts w:ascii="华文细黑" w:hAnsi="华文细黑" w:eastAsia="华文细黑"/>
          <w:sz w:val="24"/>
          <w:szCs w:val="24"/>
          <w:u w:val="none"/>
        </w:rPr>
        <w:t>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w:t>
      </w:r>
      <w:r>
        <w:rPr>
          <w:rFonts w:hint="eastAsia" w:ascii="华文细黑" w:hAnsi="华文细黑" w:eastAsia="华文细黑"/>
          <w:sz w:val="24"/>
          <w:szCs w:val="24"/>
          <w:lang w:val="en-US" w:eastAsia="zh-CN"/>
        </w:rPr>
        <w:t>935</w:t>
      </w:r>
      <w:r>
        <w:rPr>
          <w:rFonts w:ascii="华文细黑" w:hAnsi="华文细黑" w:eastAsia="华文细黑"/>
          <w:sz w:val="24"/>
          <w:szCs w:val="24"/>
        </w:rPr>
        <w:t>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有权自由处置，但所需处置费用由乙方承担，乙方不得就此要求任何赔偿。乙方无权要求甲方给予任何补偿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w:t>
      </w:r>
      <w:r>
        <w:rPr>
          <w:rFonts w:hint="eastAsia" w:ascii="华文细黑" w:hAnsi="华文细黑" w:eastAsia="华文细黑"/>
          <w:sz w:val="24"/>
          <w:szCs w:val="24"/>
          <w:lang w:val="en-US" w:eastAsia="zh-CN"/>
        </w:rPr>
        <w:t>甲方</w:t>
      </w:r>
      <w:r>
        <w:rPr>
          <w:rFonts w:ascii="华文细黑" w:hAnsi="华文细黑" w:eastAsia="华文细黑"/>
          <w:sz w:val="24"/>
          <w:szCs w:val="24"/>
        </w:rPr>
        <w:t>给予乙方书面警告后10天内，若乙方仍未整改，</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lang w:val="en-US" w:eastAsia="zh-CN"/>
        </w:rPr>
        <w:t>肆</w:t>
      </w:r>
      <w:r>
        <w:rPr>
          <w:rFonts w:hint="eastAsia" w:ascii="华文细黑" w:hAnsi="华文细黑" w:eastAsia="华文细黑"/>
          <w:sz w:val="24"/>
          <w:szCs w:val="24"/>
        </w:rPr>
        <w:t>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甲方（盖章）：厦门地丰置业有限公司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pStyle w:val="16"/>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hint="eastAsia" w:ascii="仿宋_GB2312" w:hAnsi="宋体" w:eastAsia="仿宋_GB2312"/>
          <w:b/>
          <w:bCs/>
          <w:sz w:val="24"/>
          <w:lang w:eastAsia="zh-CN"/>
        </w:rPr>
      </w:pPr>
      <w:r>
        <w:rPr>
          <w:rFonts w:hint="eastAsia" w:ascii="仿宋_GB2312" w:hAnsi="宋体" w:eastAsia="仿宋_GB2312" w:cs="宋体"/>
          <w:sz w:val="24"/>
        </w:rPr>
        <w:t>出租方：厦门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有限公司</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以下简称甲方</w:t>
      </w:r>
      <w:r>
        <w:rPr>
          <w:rFonts w:hint="eastAsia" w:ascii="仿宋_GB2312" w:hAnsi="宋体" w:eastAsia="仿宋_GB2312" w:cs="宋体"/>
          <w:sz w:val="24"/>
          <w:lang w:eastAsia="zh-CN"/>
        </w:rPr>
        <w:t>）</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w:t>
      </w:r>
      <w:r>
        <w:rPr>
          <w:rFonts w:hint="eastAsia" w:ascii="仿宋_GB2312" w:hAnsi="宋体" w:eastAsia="仿宋_GB2312" w:cs="宋体"/>
          <w:sz w:val="24"/>
          <w:lang w:val="en-US" w:eastAsia="zh-CN"/>
        </w:rPr>
        <w:t>7</w:t>
      </w:r>
      <w:r>
        <w:rPr>
          <w:rFonts w:hint="eastAsia" w:ascii="仿宋_GB2312" w:hAnsi="宋体" w:eastAsia="仿宋_GB2312" w:cs="宋体"/>
          <w:sz w:val="24"/>
        </w:rPr>
        <w:t>楼</w:t>
      </w:r>
    </w:p>
    <w:p>
      <w:pPr>
        <w:spacing w:line="360" w:lineRule="auto"/>
        <w:rPr>
          <w:rFonts w:ascii="仿宋_GB2312" w:hAnsi="Cambria" w:eastAsia="仿宋_GB2312"/>
          <w:sz w:val="24"/>
        </w:rPr>
      </w:pPr>
    </w:p>
    <w:p>
      <w:pPr>
        <w:spacing w:line="360" w:lineRule="auto"/>
        <w:rPr>
          <w:rFonts w:hint="eastAsia" w:ascii="仿宋_GB2312" w:hAnsi="Cambria" w:eastAsia="仿宋_GB2312"/>
          <w:sz w:val="24"/>
          <w:lang w:eastAsia="zh-CN"/>
        </w:rPr>
      </w:pPr>
      <w:r>
        <w:rPr>
          <w:rFonts w:hint="eastAsia" w:ascii="仿宋_GB2312" w:hAnsi="Cambria" w:eastAsia="仿宋_GB2312"/>
          <w:sz w:val="24"/>
        </w:rPr>
        <w:t xml:space="preserve">承租方： </w:t>
      </w:r>
      <w:r>
        <w:rPr>
          <w:rFonts w:hint="eastAsia" w:ascii="仿宋_GB2312" w:hAnsi="Cambria" w:eastAsia="仿宋_GB2312"/>
          <w:sz w:val="24"/>
          <w:lang w:eastAsia="zh-CN"/>
        </w:rPr>
        <w:t>（</w:t>
      </w:r>
      <w:r>
        <w:rPr>
          <w:rFonts w:hint="eastAsia" w:ascii="仿宋_GB2312" w:hAnsi="Cambria" w:eastAsia="仿宋_GB2312"/>
          <w:sz w:val="24"/>
          <w:lang w:val="en-US" w:eastAsia="zh-CN"/>
        </w:rPr>
        <w:t>以下简称乙方</w:t>
      </w:r>
      <w:r>
        <w:rPr>
          <w:rFonts w:hint="eastAsia" w:ascii="仿宋_GB2312" w:hAnsi="Cambria" w:eastAsia="仿宋_GB2312"/>
          <w:sz w:val="24"/>
          <w:lang w:eastAsia="zh-CN"/>
        </w:rPr>
        <w:t>）</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w:t>
      </w:r>
      <w:r>
        <w:rPr>
          <w:rFonts w:hint="eastAsia" w:ascii="仿宋_GB2312" w:hAnsi="宋体" w:eastAsia="仿宋_GB2312"/>
          <w:sz w:val="24"/>
          <w:lang w:val="en-US" w:eastAsia="zh-CN"/>
        </w:rPr>
        <w:t>厦地丰置业</w:t>
      </w:r>
      <w:r>
        <w:rPr>
          <w:rFonts w:hint="eastAsia" w:ascii="仿宋_GB2312" w:hAnsi="宋体" w:eastAsia="仿宋_GB2312"/>
          <w:sz w:val="24"/>
        </w:rPr>
        <w:t>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w:t>
      </w:r>
      <w:r>
        <w:rPr>
          <w:rFonts w:hint="eastAsia" w:ascii="仿宋_GB2312" w:hAnsi="仿宋" w:eastAsia="仿宋_GB2312"/>
          <w:sz w:val="24"/>
          <w:lang w:val="en-US" w:eastAsia="zh-CN"/>
        </w:rPr>
        <w:t>肆</w:t>
      </w:r>
      <w:r>
        <w:rPr>
          <w:rFonts w:hint="eastAsia" w:ascii="仿宋_GB2312" w:hAnsi="仿宋" w:eastAsia="仿宋_GB2312"/>
          <w:sz w:val="24"/>
        </w:rPr>
        <w:t>份，</w:t>
      </w:r>
      <w:r>
        <w:rPr>
          <w:rFonts w:hint="eastAsia" w:ascii="仿宋_GB2312" w:hAnsi="仿宋" w:eastAsia="仿宋_GB2312"/>
          <w:sz w:val="24"/>
          <w:lang w:val="en-US" w:eastAsia="zh-CN"/>
        </w:rPr>
        <w:t>双方各</w:t>
      </w:r>
      <w:r>
        <w:rPr>
          <w:rFonts w:hint="eastAsia" w:ascii="仿宋_GB2312" w:hAnsi="仿宋" w:eastAsia="仿宋_GB2312"/>
          <w:sz w:val="24"/>
        </w:rPr>
        <w:t>执</w:t>
      </w:r>
      <w:r>
        <w:rPr>
          <w:rFonts w:hint="eastAsia" w:ascii="仿宋_GB2312" w:hAnsi="仿宋" w:eastAsia="仿宋_GB2312"/>
          <w:sz w:val="24"/>
          <w:lang w:val="en-US" w:eastAsia="zh-CN"/>
        </w:rPr>
        <w:t>贰</w:t>
      </w:r>
      <w:r>
        <w:rPr>
          <w:rFonts w:hint="eastAsia" w:ascii="仿宋_GB2312" w:hAnsi="仿宋" w:eastAsia="仿宋_GB2312"/>
          <w:sz w:val="24"/>
        </w:rPr>
        <w:t>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hAnsi="宋体" w:eastAsia="仿宋_GB2312"/>
          <w:b/>
          <w:color w:val="000000"/>
          <w:sz w:val="24"/>
          <w:lang w:val="zh-CN"/>
        </w:rPr>
      </w:pPr>
    </w:p>
    <w:p>
      <w:pPr>
        <w:spacing w:line="360" w:lineRule="auto"/>
        <w:ind w:firstLine="600" w:firstLineChars="250"/>
        <w:jc w:val="left"/>
        <w:rPr>
          <w:rFonts w:ascii="宋体" w:hAnsi="宋体"/>
          <w:iCs/>
          <w:sz w:val="24"/>
          <w:szCs w:val="28"/>
        </w:rPr>
      </w:pPr>
      <w:r>
        <w:rPr>
          <w:rFonts w:ascii="宋体" w:hAnsi="宋体"/>
          <w:iCs/>
          <w:sz w:val="24"/>
          <w:szCs w:val="28"/>
        </w:rPr>
        <w:t xml:space="preserve"> [</w:t>
      </w:r>
      <w:r>
        <w:rPr>
          <w:rFonts w:hint="eastAsia" w:ascii="宋体" w:hAnsi="宋体"/>
          <w:iCs/>
          <w:sz w:val="24"/>
          <w:szCs w:val="28"/>
        </w:rPr>
        <w:t>本页无正文，为签署页</w:t>
      </w:r>
      <w:r>
        <w:rPr>
          <w:rFonts w:ascii="宋体" w:hAnsi="宋体"/>
          <w:iCs/>
          <w:sz w:val="24"/>
          <w:szCs w:val="28"/>
        </w:rPr>
        <w:t>]</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 xml:space="preserve">有限公司 </w:t>
      </w:r>
      <w:r>
        <w:rPr>
          <w:rFonts w:hint="eastAsia"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540"/>
        <w:rPr>
          <w:rFonts w:ascii="仿宋_GB2312" w:hAnsi="宋体" w:eastAsia="仿宋_GB2312"/>
          <w:color w:val="000000"/>
          <w:sz w:val="24"/>
          <w:lang w:val="zh-CN"/>
        </w:rPr>
      </w:pP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autoSpaceDE w:val="0"/>
        <w:autoSpaceDN w:val="0"/>
        <w:adjustRightInd w:val="0"/>
        <w:spacing w:line="480" w:lineRule="auto"/>
        <w:ind w:firstLine="3060" w:firstLineChars="1275"/>
        <w:rPr>
          <w:rFonts w:ascii="仿宋_GB2312" w:eastAsia="仿宋_GB2312"/>
          <w:sz w:val="24"/>
        </w:rPr>
      </w:pPr>
      <w:r>
        <w:rPr>
          <w:rFonts w:hint="eastAsia" w:ascii="仿宋_GB2312" w:hAnsi="宋体" w:eastAsia="仿宋_GB2312"/>
          <w:color w:val="000000"/>
          <w:sz w:val="24"/>
          <w:lang w:val="zh-CN"/>
        </w:rPr>
        <w:t>签订时间：年  月   日</w:t>
      </w:r>
    </w:p>
    <w:p>
      <w:pPr>
        <w:spacing w:line="360" w:lineRule="auto"/>
        <w:rPr>
          <w:rFonts w:ascii="华文细黑" w:hAnsi="华文细黑" w:eastAsia="华文细黑" w:cs="Times New Roman"/>
          <w:b/>
          <w:sz w:val="24"/>
          <w:szCs w:val="24"/>
        </w:rPr>
      </w:pPr>
    </w:p>
    <w:p>
      <w:pPr>
        <w:spacing w:line="360" w:lineRule="auto"/>
        <w:jc w:val="left"/>
        <w:rPr>
          <w:rFonts w:ascii="仿宋_GB2312" w:hAnsi="宋体" w:eastAsia="仿宋_GB2312" w:cs="Times New Roman"/>
          <w:b/>
          <w:bCs/>
          <w:sz w:val="24"/>
        </w:rPr>
      </w:pPr>
    </w:p>
    <w:p/>
    <w:p/>
    <w:p>
      <w:pPr>
        <w:spacing w:line="500" w:lineRule="exact"/>
        <w:rPr>
          <w:rFonts w:ascii="仿宋_GB2312" w:hAnsi="宋体" w:eastAsia="仿宋_GB2312" w:cs="Times New Roman"/>
          <w:b/>
          <w:bCs/>
          <w:sz w:val="24"/>
        </w:rPr>
      </w:pPr>
    </w:p>
    <w:p>
      <w:pPr>
        <w:jc w:val="cente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a57b3677-2144-4ccc-8a32-c20cc51cdfce"/>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22656"/>
    <w:rsid w:val="00477596"/>
    <w:rsid w:val="00481B44"/>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11F9"/>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01777F38"/>
    <w:rsid w:val="01B43016"/>
    <w:rsid w:val="1347763B"/>
    <w:rsid w:val="1ED52D0D"/>
    <w:rsid w:val="1F8452B0"/>
    <w:rsid w:val="2DF768E2"/>
    <w:rsid w:val="30CC0080"/>
    <w:rsid w:val="31062CB6"/>
    <w:rsid w:val="4C0A4C0B"/>
    <w:rsid w:val="59E7033A"/>
    <w:rsid w:val="5C5F6B57"/>
    <w:rsid w:val="5E2F4233"/>
    <w:rsid w:val="612C26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qFormat/>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AE9CF-1A3B-4FD2-B39B-A911388AAE2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1890</Words>
  <Characters>10775</Characters>
  <Lines>89</Lines>
  <Paragraphs>25</Paragraphs>
  <TotalTime>2</TotalTime>
  <ScaleCrop>false</ScaleCrop>
  <LinksUpToDate>false</LinksUpToDate>
  <CharactersWithSpaces>12640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2023-10-16T08:30:00Z</dcterms:created>
  <dc:creator>施正杰</dc:creator>
  <cp:lastModifiedBy>俞敏俐</cp:lastModifiedBy>
  <cp:lastPrinted>2023-07-24T03:00:00Z</cp:lastPrinted>
  <dcterms:modified xsi:type="dcterms:W3CDTF">2024-08-30T05:25:56Z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82F2076087104643BCAF7CC333BDED09_12</vt:lpwstr>
  </property>
</Properties>
</file>