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3514090" cy="5570220"/>
            <wp:effectExtent l="0" t="0" r="1016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514090" cy="557022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翔安区特房芙蓉属于</w:t>
      </w:r>
      <w:r>
        <w:rPr>
          <w:rFonts w:hint="eastAsia" w:ascii="仿宋_GB2312" w:hAnsi="宋体" w:eastAsia="仿宋_GB2312"/>
          <w:b/>
          <w:bCs/>
          <w:sz w:val="24"/>
        </w:rPr>
        <w:t>区位示意图</w:t>
      </w:r>
    </w:p>
    <w:p/>
    <w:p>
      <w:pPr>
        <w:jc w:val="center"/>
      </w:pPr>
    </w:p>
    <w:p>
      <w:pPr>
        <w:spacing w:line="500" w:lineRule="exact"/>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500" w:lineRule="exact"/>
        <w:rPr>
          <w:rFonts w:ascii="仿宋_GB2312" w:hAnsi="宋体" w:eastAsia="仿宋_GB2312" w:cs="Times New Roman"/>
          <w:b/>
          <w:bCs/>
          <w:sz w:val="24"/>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bookmarkStart w:id="0" w:name="_GoBack"/>
      <w:bookmarkEnd w:id="0"/>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B43016"/>
    <w:rsid w:val="1347763B"/>
    <w:rsid w:val="1ED52D0D"/>
    <w:rsid w:val="30CC00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2024-06-13T10:40:33Z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